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D2" w:rsidRPr="00FD46D2" w:rsidRDefault="00FD46D2" w:rsidP="00FD46D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32"/>
          <w:szCs w:val="32"/>
          <w:lang w:eastAsia="en-GB"/>
        </w:rPr>
      </w:pPr>
      <w:r>
        <w:rPr>
          <w:rFonts w:ascii="Calibri" w:eastAsia="Times New Roman" w:hAnsi="Calibri" w:cs="Calibri"/>
          <w:b/>
          <w:sz w:val="32"/>
          <w:szCs w:val="32"/>
          <w:lang w:eastAsia="en-GB"/>
        </w:rPr>
        <w:t>IAPT- P</w:t>
      </w:r>
      <w:r w:rsidRPr="00FD46D2">
        <w:rPr>
          <w:rFonts w:ascii="Calibri" w:eastAsia="Times New Roman" w:hAnsi="Calibri" w:cs="Calibri"/>
          <w:b/>
          <w:sz w:val="32"/>
          <w:szCs w:val="32"/>
          <w:lang w:eastAsia="en-GB"/>
        </w:rPr>
        <w:t>sychological intervent</w:t>
      </w:r>
      <w:r>
        <w:rPr>
          <w:rFonts w:ascii="Calibri" w:eastAsia="Times New Roman" w:hAnsi="Calibri" w:cs="Calibri"/>
          <w:b/>
          <w:sz w:val="32"/>
          <w:szCs w:val="32"/>
          <w:lang w:eastAsia="en-GB"/>
        </w:rPr>
        <w:t>ions for patients with specified long term conditions</w:t>
      </w:r>
    </w:p>
    <w:p w:rsidR="00541ED6" w:rsidRPr="004A3B7C" w:rsidRDefault="00FD46D2" w:rsidP="00FD46D2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FD46D2">
        <w:rPr>
          <w:rFonts w:ascii="Calibri" w:eastAsia="Times New Roman" w:hAnsi="Calibri" w:cs="Calibri"/>
          <w:b/>
          <w:sz w:val="32"/>
          <w:szCs w:val="32"/>
          <w:lang w:eastAsia="en-GB"/>
        </w:rPr>
        <w:t> </w:t>
      </w:r>
      <w:bookmarkStart w:id="0" w:name="_GoBack"/>
      <w:bookmarkEnd w:id="0"/>
    </w:p>
    <w:p w:rsidR="004A3B7C" w:rsidRDefault="004A3B7C" w:rsidP="004A3B7C">
      <w:pPr>
        <w:rPr>
          <w:rFonts w:cstheme="minorHAnsi"/>
          <w:color w:val="4A442A" w:themeColor="background2" w:themeShade="40"/>
          <w:sz w:val="24"/>
          <w:szCs w:val="24"/>
        </w:rPr>
      </w:pPr>
      <w:r w:rsidRPr="002029C1">
        <w:rPr>
          <w:b/>
          <w:color w:val="FF0000"/>
          <w:sz w:val="28"/>
          <w:szCs w:val="28"/>
          <w:u w:val="single"/>
        </w:rPr>
        <w:t xml:space="preserve">HEALTHY </w:t>
      </w:r>
      <w:proofErr w:type="gramStart"/>
      <w:r w:rsidRPr="002029C1">
        <w:rPr>
          <w:b/>
          <w:color w:val="FF0000"/>
          <w:sz w:val="28"/>
          <w:szCs w:val="28"/>
          <w:u w:val="single"/>
        </w:rPr>
        <w:t>OUTLOOK</w:t>
      </w:r>
      <w:r w:rsidRPr="004A3B7C"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>is</w:t>
      </w:r>
      <w:proofErr w:type="gramEnd"/>
      <w:r>
        <w:rPr>
          <w:color w:val="000000" w:themeColor="text1"/>
          <w:sz w:val="24"/>
          <w:szCs w:val="24"/>
        </w:rPr>
        <w:t xml:space="preserve"> a </w:t>
      </w:r>
      <w:r w:rsidR="005B606B">
        <w:rPr>
          <w:rFonts w:cstheme="minorHAnsi"/>
          <w:color w:val="4A442A" w:themeColor="background2" w:themeShade="40"/>
          <w:sz w:val="24"/>
          <w:szCs w:val="24"/>
        </w:rPr>
        <w:t xml:space="preserve">service designed to focus 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on supporting service users </w:t>
      </w:r>
      <w:r>
        <w:rPr>
          <w:rFonts w:cstheme="minorHAnsi"/>
          <w:color w:val="4A442A" w:themeColor="background2" w:themeShade="40"/>
          <w:sz w:val="24"/>
          <w:szCs w:val="24"/>
        </w:rPr>
        <w:t>to manage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 their mental health in order to better manage their physical health condition. </w:t>
      </w:r>
    </w:p>
    <w:p w:rsidR="004A3B7C" w:rsidRDefault="004A3B7C" w:rsidP="004A3B7C">
      <w:pPr>
        <w:rPr>
          <w:rFonts w:cstheme="minorHAnsi"/>
          <w:color w:val="4A442A" w:themeColor="background2" w:themeShade="40"/>
          <w:sz w:val="24"/>
          <w:szCs w:val="24"/>
        </w:rPr>
      </w:pPr>
      <w:r w:rsidRPr="004A3B7C">
        <w:rPr>
          <w:rFonts w:cstheme="minorHAnsi"/>
          <w:color w:val="4A442A" w:themeColor="background2" w:themeShade="40"/>
          <w:sz w:val="24"/>
          <w:szCs w:val="24"/>
        </w:rPr>
        <w:t>Patients who have</w:t>
      </w:r>
      <w:r>
        <w:rPr>
          <w:rFonts w:cstheme="minorHAnsi"/>
          <w:color w:val="4A442A" w:themeColor="background2" w:themeShade="40"/>
          <w:sz w:val="24"/>
          <w:szCs w:val="24"/>
        </w:rPr>
        <w:t xml:space="preserve"> a diagnosis of any of the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 </w:t>
      </w:r>
      <w:r w:rsidRPr="002029C1">
        <w:rPr>
          <w:rFonts w:cstheme="minorHAnsi"/>
          <w:b/>
          <w:color w:val="4A442A" w:themeColor="background2" w:themeShade="40"/>
          <w:sz w:val="24"/>
          <w:szCs w:val="24"/>
        </w:rPr>
        <w:t>inclusion conditions below</w:t>
      </w:r>
      <w:r w:rsidR="005B606B">
        <w:rPr>
          <w:rFonts w:cstheme="minorHAnsi"/>
          <w:color w:val="4A442A" w:themeColor="background2" w:themeShade="40"/>
          <w:sz w:val="24"/>
          <w:szCs w:val="24"/>
        </w:rPr>
        <w:t xml:space="preserve"> and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 find it diff</w:t>
      </w:r>
      <w:r w:rsidR="005B606B">
        <w:rPr>
          <w:rFonts w:cstheme="minorHAnsi"/>
          <w:color w:val="4A442A" w:themeColor="background2" w:themeShade="40"/>
          <w:sz w:val="24"/>
          <w:szCs w:val="24"/>
        </w:rPr>
        <w:t>icult to manage their condition;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 are experiencing symptoms of stress, depression or anxiety </w:t>
      </w:r>
      <w:r>
        <w:rPr>
          <w:rFonts w:cstheme="minorHAnsi"/>
          <w:color w:val="4A442A" w:themeColor="background2" w:themeShade="40"/>
          <w:sz w:val="24"/>
          <w:szCs w:val="24"/>
        </w:rPr>
        <w:t xml:space="preserve">and 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frequently attend physical health services </w:t>
      </w:r>
      <w:r>
        <w:rPr>
          <w:rFonts w:cstheme="minorHAnsi"/>
          <w:color w:val="4A442A" w:themeColor="background2" w:themeShade="40"/>
          <w:sz w:val="24"/>
          <w:szCs w:val="24"/>
        </w:rPr>
        <w:t>are eligible.</w:t>
      </w:r>
    </w:p>
    <w:p w:rsidR="004A3B7C" w:rsidRPr="00005318" w:rsidRDefault="004A3B7C" w:rsidP="004A3B7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005318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Diabetes (Types 1 and 2)                                                                     </w:t>
      </w:r>
    </w:p>
    <w:p w:rsidR="004A3B7C" w:rsidRPr="00005318" w:rsidRDefault="004A3B7C" w:rsidP="004A3B7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005318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Cardiovascular Related Problems </w:t>
      </w:r>
    </w:p>
    <w:p w:rsidR="004A3B7C" w:rsidRPr="00005318" w:rsidRDefault="004A3B7C" w:rsidP="004A3B7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005318">
        <w:rPr>
          <w:rFonts w:ascii="Arial" w:hAnsi="Arial" w:cs="Arial"/>
          <w:b/>
          <w:color w:val="4A442A" w:themeColor="background2" w:themeShade="40"/>
          <w:sz w:val="24"/>
          <w:szCs w:val="24"/>
        </w:rPr>
        <w:t xml:space="preserve">Irritable Bowel Syndrome (IBS)                                                                                      </w:t>
      </w:r>
    </w:p>
    <w:p w:rsidR="004A3B7C" w:rsidRDefault="004A3B7C" w:rsidP="004A3B7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A442A" w:themeColor="background2" w:themeShade="40"/>
          <w:sz w:val="24"/>
          <w:szCs w:val="24"/>
        </w:rPr>
      </w:pPr>
      <w:r w:rsidRPr="00005318">
        <w:rPr>
          <w:rFonts w:ascii="Arial" w:hAnsi="Arial" w:cs="Arial"/>
          <w:b/>
          <w:color w:val="4A442A" w:themeColor="background2" w:themeShade="40"/>
          <w:sz w:val="24"/>
          <w:szCs w:val="24"/>
        </w:rPr>
        <w:t>Chronic Obstructive Pulmonary Disease (COPD)</w:t>
      </w:r>
    </w:p>
    <w:p w:rsidR="004A3B7C" w:rsidRDefault="004A3B7C" w:rsidP="004A3B7C">
      <w:pPr>
        <w:rPr>
          <w:rFonts w:ascii="Arial" w:hAnsi="Arial" w:cs="Arial"/>
          <w:b/>
          <w:color w:val="4A442A" w:themeColor="background2" w:themeShade="40"/>
          <w:sz w:val="24"/>
          <w:szCs w:val="24"/>
        </w:rPr>
      </w:pPr>
    </w:p>
    <w:p w:rsidR="004A3B7C" w:rsidRPr="004A3B7C" w:rsidRDefault="004A3B7C" w:rsidP="005B606B">
      <w:pPr>
        <w:spacing w:after="0" w:line="360" w:lineRule="auto"/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</w:pPr>
      <w:r w:rsidRPr="004A3B7C">
        <w:rPr>
          <w:rFonts w:eastAsia="Times New Roman" w:cstheme="minorHAnsi"/>
          <w:b/>
          <w:color w:val="4A442A" w:themeColor="background2" w:themeShade="40"/>
          <w:sz w:val="24"/>
          <w:szCs w:val="24"/>
          <w:lang w:eastAsia="en-GB"/>
        </w:rPr>
        <w:t>Inclusion criteria;</w:t>
      </w:r>
    </w:p>
    <w:p w:rsidR="004A3B7C" w:rsidRPr="004A3B7C" w:rsidRDefault="004A3B7C" w:rsidP="004A3B7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</w:pPr>
      <w:r w:rsidRPr="004A3B7C"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 xml:space="preserve">Patients who would be considered low to medium risk in that they may be experiencing thoughts or passive suicidal/self-harming ideation in line with depression or anxiety but have no plans or intent to act upon this. </w:t>
      </w:r>
    </w:p>
    <w:p w:rsidR="004A3B7C" w:rsidRPr="004A3B7C" w:rsidRDefault="004A3B7C" w:rsidP="004A3B7C">
      <w:pPr>
        <w:spacing w:after="0" w:line="240" w:lineRule="auto"/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</w:pPr>
    </w:p>
    <w:p w:rsidR="004A3B7C" w:rsidRPr="004A3B7C" w:rsidRDefault="0055207D" w:rsidP="004A3B7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</w:pPr>
      <w:r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 xml:space="preserve">Patients </w:t>
      </w:r>
      <w:r w:rsidR="004A3B7C" w:rsidRPr="004A3B7C"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 xml:space="preserve">who are currently engaged with other services such as </w:t>
      </w:r>
      <w:proofErr w:type="spellStart"/>
      <w:r w:rsidR="004A3B7C" w:rsidRPr="004A3B7C"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>Pentreath</w:t>
      </w:r>
      <w:proofErr w:type="spellEnd"/>
      <w:r w:rsidR="004A3B7C" w:rsidRPr="004A3B7C"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>, DWP, or</w:t>
      </w:r>
      <w:r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 xml:space="preserve"> related charity organisations are accepted. </w:t>
      </w:r>
    </w:p>
    <w:p w:rsidR="004A3B7C" w:rsidRPr="004A3B7C" w:rsidRDefault="004A3B7C" w:rsidP="004A3B7C">
      <w:pPr>
        <w:spacing w:after="0" w:line="240" w:lineRule="auto"/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</w:pPr>
    </w:p>
    <w:p w:rsidR="004A3B7C" w:rsidRPr="004A3B7C" w:rsidRDefault="0055207D" w:rsidP="004A3B7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</w:pPr>
      <w:r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>R</w:t>
      </w:r>
      <w:r w:rsidR="004A3B7C" w:rsidRPr="004A3B7C"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>eferrals</w:t>
      </w:r>
      <w:r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 xml:space="preserve"> are accepted </w:t>
      </w:r>
      <w:r w:rsidR="004A3B7C" w:rsidRPr="004A3B7C"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>from the Community Mental Health Team as long as the service user has one of the inclusion criteria conditions, have had a sustained period of stability</w:t>
      </w:r>
      <w:r w:rsidR="002029C1"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 xml:space="preserve"> and</w:t>
      </w:r>
      <w:r w:rsidR="004A3B7C" w:rsidRPr="004A3B7C">
        <w:rPr>
          <w:rFonts w:eastAsia="Times New Roman" w:cstheme="minorHAnsi"/>
          <w:color w:val="4A442A" w:themeColor="background2" w:themeShade="40"/>
          <w:sz w:val="24"/>
          <w:szCs w:val="24"/>
          <w:lang w:eastAsia="en-GB"/>
        </w:rPr>
        <w:t xml:space="preserve"> they are engaged with the Community Health Teams’ treatment program. </w:t>
      </w:r>
    </w:p>
    <w:p w:rsidR="004A3B7C" w:rsidRDefault="004A3B7C" w:rsidP="004A3B7C">
      <w:pPr>
        <w:rPr>
          <w:rFonts w:cstheme="minorHAnsi"/>
          <w:b/>
          <w:color w:val="4A442A" w:themeColor="background2" w:themeShade="40"/>
          <w:sz w:val="24"/>
          <w:szCs w:val="24"/>
        </w:rPr>
      </w:pPr>
    </w:p>
    <w:p w:rsidR="004A3B7C" w:rsidRPr="004A3B7C" w:rsidRDefault="004A3B7C" w:rsidP="004A3B7C">
      <w:pPr>
        <w:rPr>
          <w:rFonts w:cstheme="minorHAnsi"/>
          <w:b/>
          <w:color w:val="4A442A" w:themeColor="background2" w:themeShade="40"/>
          <w:sz w:val="24"/>
          <w:szCs w:val="24"/>
        </w:rPr>
      </w:pPr>
      <w:r w:rsidRPr="004A3B7C">
        <w:rPr>
          <w:rFonts w:cstheme="minorHAnsi"/>
          <w:b/>
          <w:color w:val="4A442A" w:themeColor="background2" w:themeShade="40"/>
          <w:sz w:val="24"/>
          <w:szCs w:val="24"/>
        </w:rPr>
        <w:t>Exclusion Criteria;</w:t>
      </w:r>
    </w:p>
    <w:p w:rsidR="004A3B7C" w:rsidRPr="004A3B7C" w:rsidRDefault="004A3B7C" w:rsidP="004A3B7C">
      <w:pPr>
        <w:pStyle w:val="ListParagraph"/>
        <w:numPr>
          <w:ilvl w:val="0"/>
          <w:numId w:val="1"/>
        </w:numPr>
        <w:rPr>
          <w:rFonts w:cstheme="minorHAnsi"/>
          <w:color w:val="4A442A" w:themeColor="background2" w:themeShade="40"/>
          <w:sz w:val="24"/>
          <w:szCs w:val="24"/>
        </w:rPr>
      </w:pPr>
      <w:r w:rsidRPr="004A3B7C">
        <w:rPr>
          <w:rFonts w:cstheme="minorHAnsi"/>
          <w:b/>
          <w:color w:val="4A442A" w:themeColor="background2" w:themeShade="40"/>
          <w:sz w:val="24"/>
          <w:szCs w:val="24"/>
          <w:u w:val="single"/>
        </w:rPr>
        <w:t>High Risk Patients</w:t>
      </w:r>
      <w:r w:rsidRPr="004A3B7C">
        <w:rPr>
          <w:rFonts w:cstheme="minorHAnsi"/>
          <w:b/>
          <w:color w:val="4A442A" w:themeColor="background2" w:themeShade="40"/>
          <w:sz w:val="24"/>
          <w:szCs w:val="24"/>
        </w:rPr>
        <w:t>: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 Patients that are experiencing frequent thoughts of suicide or who have plans or intent to harm themselve</w:t>
      </w:r>
      <w:r w:rsidR="005B606B">
        <w:rPr>
          <w:rFonts w:cstheme="minorHAnsi"/>
          <w:color w:val="4A442A" w:themeColor="background2" w:themeShade="40"/>
          <w:sz w:val="24"/>
          <w:szCs w:val="24"/>
        </w:rPr>
        <w:t xml:space="preserve">s or others </w:t>
      </w:r>
      <w:r w:rsidR="002029C1">
        <w:rPr>
          <w:rFonts w:cstheme="minorHAnsi"/>
          <w:color w:val="4A442A" w:themeColor="background2" w:themeShade="40"/>
          <w:sz w:val="24"/>
          <w:szCs w:val="24"/>
        </w:rPr>
        <w:t>in some way. P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>atients that are considered ‘high risk’ of suicide</w:t>
      </w:r>
      <w:r w:rsidR="002029C1">
        <w:rPr>
          <w:rFonts w:cstheme="minorHAnsi"/>
          <w:color w:val="4A442A" w:themeColor="background2" w:themeShade="40"/>
          <w:sz w:val="24"/>
          <w:szCs w:val="24"/>
        </w:rPr>
        <w:t xml:space="preserve"> will not be accepted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. Please be aware that we are not an emergency service. </w:t>
      </w:r>
    </w:p>
    <w:p w:rsidR="004A3B7C" w:rsidRPr="004A3B7C" w:rsidRDefault="004A3B7C" w:rsidP="004A3B7C">
      <w:pPr>
        <w:pStyle w:val="ListParagraph"/>
        <w:rPr>
          <w:rFonts w:cstheme="minorHAnsi"/>
          <w:color w:val="4A442A" w:themeColor="background2" w:themeShade="40"/>
          <w:sz w:val="24"/>
          <w:szCs w:val="24"/>
        </w:rPr>
      </w:pPr>
    </w:p>
    <w:p w:rsidR="004A3B7C" w:rsidRPr="004A3B7C" w:rsidRDefault="004A3B7C" w:rsidP="004A3B7C">
      <w:pPr>
        <w:pStyle w:val="ListParagraph"/>
        <w:numPr>
          <w:ilvl w:val="0"/>
          <w:numId w:val="1"/>
        </w:numPr>
        <w:rPr>
          <w:rFonts w:cstheme="minorHAnsi"/>
          <w:color w:val="4A442A" w:themeColor="background2" w:themeShade="40"/>
          <w:sz w:val="24"/>
          <w:szCs w:val="24"/>
        </w:rPr>
      </w:pPr>
      <w:r w:rsidRPr="004A3B7C">
        <w:rPr>
          <w:rFonts w:cstheme="minorHAnsi"/>
          <w:b/>
          <w:color w:val="4A442A" w:themeColor="background2" w:themeShade="40"/>
          <w:sz w:val="24"/>
          <w:szCs w:val="24"/>
          <w:u w:val="single"/>
        </w:rPr>
        <w:t>Other physical health conditions:</w:t>
      </w:r>
      <w:r w:rsidR="005B606B">
        <w:rPr>
          <w:rFonts w:cstheme="minorHAnsi"/>
          <w:color w:val="4A442A" w:themeColor="background2" w:themeShade="40"/>
          <w:sz w:val="24"/>
          <w:szCs w:val="24"/>
        </w:rPr>
        <w:t xml:space="preserve"> P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>atients with other physical health conditions such as Chronic Pain, Fibromyalgia, Chronic Fatigue Syndrome/ME, epilepsy, Cancer or any other condition that is not listed in the inclusion crit</w:t>
      </w:r>
      <w:r w:rsidR="005B606B">
        <w:rPr>
          <w:rFonts w:cstheme="minorHAnsi"/>
          <w:color w:val="4A442A" w:themeColor="background2" w:themeShade="40"/>
          <w:sz w:val="24"/>
          <w:szCs w:val="24"/>
        </w:rPr>
        <w:t>eria cannot be accepted.</w:t>
      </w:r>
    </w:p>
    <w:p w:rsidR="004A3B7C" w:rsidRPr="004A3B7C" w:rsidRDefault="004A3B7C" w:rsidP="004A3B7C">
      <w:pPr>
        <w:pStyle w:val="ListParagraph"/>
        <w:rPr>
          <w:rFonts w:cstheme="minorHAnsi"/>
          <w:color w:val="4A442A" w:themeColor="background2" w:themeShade="40"/>
          <w:sz w:val="24"/>
          <w:szCs w:val="24"/>
        </w:rPr>
      </w:pPr>
    </w:p>
    <w:p w:rsidR="004A3B7C" w:rsidRPr="004A3B7C" w:rsidRDefault="004A3B7C" w:rsidP="004A3B7C">
      <w:pPr>
        <w:pStyle w:val="ListParagraph"/>
        <w:numPr>
          <w:ilvl w:val="0"/>
          <w:numId w:val="1"/>
        </w:numPr>
        <w:rPr>
          <w:rFonts w:cstheme="minorHAnsi"/>
          <w:color w:val="4A442A" w:themeColor="background2" w:themeShade="40"/>
          <w:sz w:val="24"/>
          <w:szCs w:val="24"/>
        </w:rPr>
      </w:pPr>
      <w:r w:rsidRPr="004A3B7C">
        <w:rPr>
          <w:rFonts w:cstheme="minorHAnsi"/>
          <w:b/>
          <w:color w:val="4A442A" w:themeColor="background2" w:themeShade="40"/>
          <w:sz w:val="24"/>
          <w:szCs w:val="24"/>
          <w:u w:val="single"/>
        </w:rPr>
        <w:t>Alcohol or Substance Dependence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: Service users that are currently engaging in or have a dependency on drugs and/or alcohol that are not engaged with the commissioned service to manage the dependency with the substance or alcohol. 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lastRenderedPageBreak/>
        <w:t xml:space="preserve">Such referrals from these services will also be subject to an assessment for clinical appropriateness.   </w:t>
      </w:r>
    </w:p>
    <w:p w:rsidR="004A3B7C" w:rsidRPr="004A3B7C" w:rsidRDefault="004A3B7C" w:rsidP="004A3B7C">
      <w:pPr>
        <w:pStyle w:val="ListParagraph"/>
        <w:rPr>
          <w:rFonts w:cstheme="minorHAnsi"/>
          <w:color w:val="4A442A" w:themeColor="background2" w:themeShade="40"/>
          <w:sz w:val="24"/>
          <w:szCs w:val="24"/>
        </w:rPr>
      </w:pPr>
    </w:p>
    <w:p w:rsidR="004A3B7C" w:rsidRDefault="004A3B7C" w:rsidP="004A3B7C">
      <w:pPr>
        <w:pStyle w:val="ListParagraph"/>
        <w:numPr>
          <w:ilvl w:val="0"/>
          <w:numId w:val="1"/>
        </w:numPr>
        <w:rPr>
          <w:rFonts w:cstheme="minorHAnsi"/>
          <w:color w:val="4A442A" w:themeColor="background2" w:themeShade="40"/>
          <w:sz w:val="24"/>
          <w:szCs w:val="24"/>
        </w:rPr>
      </w:pPr>
      <w:r w:rsidRPr="004A3B7C">
        <w:rPr>
          <w:rFonts w:cstheme="minorHAnsi"/>
          <w:b/>
          <w:color w:val="4A442A" w:themeColor="background2" w:themeShade="40"/>
          <w:sz w:val="24"/>
          <w:szCs w:val="24"/>
          <w:u w:val="single"/>
        </w:rPr>
        <w:t xml:space="preserve">Patients who are </w:t>
      </w:r>
      <w:r w:rsidR="002029C1">
        <w:rPr>
          <w:rFonts w:cstheme="minorHAnsi"/>
          <w:b/>
          <w:color w:val="4A442A" w:themeColor="background2" w:themeShade="40"/>
          <w:sz w:val="24"/>
          <w:szCs w:val="24"/>
          <w:u w:val="single"/>
        </w:rPr>
        <w:t>seeking mental health input only</w:t>
      </w:r>
      <w:r w:rsidRPr="004A3B7C">
        <w:rPr>
          <w:rFonts w:cstheme="minorHAnsi"/>
          <w:color w:val="4A442A" w:themeColor="background2" w:themeShade="40"/>
          <w:sz w:val="24"/>
          <w:szCs w:val="24"/>
        </w:rPr>
        <w:t xml:space="preserve">: The service is designed and adapted to focus in on supporting service users managing their mental health in order to better manage their physical health condition. </w:t>
      </w:r>
    </w:p>
    <w:p w:rsidR="00742C05" w:rsidRPr="00742C05" w:rsidRDefault="00742C05" w:rsidP="00742C05">
      <w:pPr>
        <w:pStyle w:val="ListParagraph"/>
        <w:rPr>
          <w:rFonts w:cstheme="minorHAnsi"/>
          <w:color w:val="4A442A" w:themeColor="background2" w:themeShade="40"/>
          <w:sz w:val="24"/>
          <w:szCs w:val="24"/>
        </w:rPr>
      </w:pPr>
    </w:p>
    <w:p w:rsidR="00742C05" w:rsidRDefault="00742C05" w:rsidP="00742C05">
      <w:pPr>
        <w:rPr>
          <w:rFonts w:cstheme="minorHAnsi"/>
          <w:color w:val="4A442A" w:themeColor="background2" w:themeShade="40"/>
          <w:sz w:val="24"/>
          <w:szCs w:val="24"/>
        </w:rPr>
      </w:pPr>
    </w:p>
    <w:p w:rsidR="00742C05" w:rsidRPr="002029C1" w:rsidRDefault="00742C05" w:rsidP="00742C05">
      <w:pPr>
        <w:rPr>
          <w:rFonts w:cstheme="minorHAnsi"/>
          <w:color w:val="4A442A" w:themeColor="background2" w:themeShade="40"/>
          <w:sz w:val="28"/>
          <w:szCs w:val="28"/>
        </w:rPr>
      </w:pPr>
      <w:r w:rsidRPr="002029C1">
        <w:rPr>
          <w:rFonts w:cstheme="minorHAnsi"/>
          <w:b/>
          <w:color w:val="4A442A" w:themeColor="background2" w:themeShade="40"/>
          <w:sz w:val="28"/>
          <w:szCs w:val="28"/>
          <w:u w:val="single"/>
        </w:rPr>
        <w:t>HOW TO REFER</w:t>
      </w:r>
      <w:r w:rsidRPr="002029C1">
        <w:rPr>
          <w:rFonts w:cstheme="minorHAnsi"/>
          <w:color w:val="4A442A" w:themeColor="background2" w:themeShade="40"/>
          <w:sz w:val="28"/>
          <w:szCs w:val="28"/>
        </w:rPr>
        <w:t>:</w:t>
      </w:r>
    </w:p>
    <w:p w:rsidR="00742C05" w:rsidRDefault="002029C1" w:rsidP="00742C05">
      <w:r>
        <w:rPr>
          <w:rFonts w:cstheme="minorHAnsi"/>
          <w:color w:val="4A442A" w:themeColor="background2" w:themeShade="40"/>
          <w:sz w:val="24"/>
          <w:szCs w:val="24"/>
        </w:rPr>
        <w:t>Complete the online referral form via this link</w:t>
      </w:r>
      <w:r w:rsidR="00742C05">
        <w:rPr>
          <w:rFonts w:cstheme="minorHAnsi"/>
          <w:color w:val="4A442A" w:themeColor="background2" w:themeShade="40"/>
          <w:sz w:val="24"/>
          <w:szCs w:val="24"/>
        </w:rPr>
        <w:t xml:space="preserve">: </w:t>
      </w:r>
      <w:hyperlink r:id="rId6" w:history="1">
        <w:r w:rsidR="00742C05">
          <w:rPr>
            <w:rStyle w:val="Hyperlink"/>
          </w:rPr>
          <w:t>https://www.cornwallft.nhs.uk/register-online</w:t>
        </w:r>
      </w:hyperlink>
    </w:p>
    <w:p w:rsidR="002029C1" w:rsidRDefault="002029C1" w:rsidP="00742C05"/>
    <w:p w:rsidR="002029C1" w:rsidRDefault="002029C1" w:rsidP="00742C05">
      <w:pPr>
        <w:rPr>
          <w:b/>
          <w:sz w:val="24"/>
          <w:szCs w:val="24"/>
        </w:rPr>
      </w:pPr>
      <w:r w:rsidRPr="002029C1">
        <w:rPr>
          <w:b/>
          <w:sz w:val="24"/>
          <w:szCs w:val="24"/>
        </w:rPr>
        <w:t>Healthy outlook contact details:</w:t>
      </w:r>
    </w:p>
    <w:p w:rsidR="002029C1" w:rsidRDefault="002029C1" w:rsidP="00742C05">
      <w:r>
        <w:rPr>
          <w:sz w:val="24"/>
          <w:szCs w:val="24"/>
        </w:rPr>
        <w:t xml:space="preserve">Website: </w:t>
      </w:r>
      <w:hyperlink r:id="rId7" w:history="1">
        <w:r>
          <w:rPr>
            <w:rStyle w:val="Hyperlink"/>
          </w:rPr>
          <w:t>https://www.cornwallft.nhs.uk/healthy-outlook</w:t>
        </w:r>
      </w:hyperlink>
    </w:p>
    <w:p w:rsidR="002029C1" w:rsidRDefault="002029C1" w:rsidP="00742C05">
      <w:r>
        <w:t>Phone: 01208 871905</w:t>
      </w:r>
    </w:p>
    <w:p w:rsidR="002029C1" w:rsidRPr="002029C1" w:rsidRDefault="002029C1" w:rsidP="00742C05">
      <w:pPr>
        <w:rPr>
          <w:sz w:val="24"/>
          <w:szCs w:val="24"/>
        </w:rPr>
      </w:pPr>
      <w:r>
        <w:t>Email: cft.healthyoutlook@nhs.net</w:t>
      </w:r>
    </w:p>
    <w:p w:rsidR="002029C1" w:rsidRPr="00742C05" w:rsidRDefault="002029C1" w:rsidP="00742C05">
      <w:pPr>
        <w:rPr>
          <w:rFonts w:cstheme="minorHAnsi"/>
          <w:color w:val="4A442A" w:themeColor="background2" w:themeShade="40"/>
          <w:sz w:val="24"/>
          <w:szCs w:val="24"/>
        </w:rPr>
      </w:pPr>
    </w:p>
    <w:p w:rsidR="00742C05" w:rsidRPr="00742C05" w:rsidRDefault="00742C05" w:rsidP="00742C05">
      <w:pPr>
        <w:rPr>
          <w:rFonts w:cstheme="minorHAnsi"/>
          <w:color w:val="4A442A" w:themeColor="background2" w:themeShade="40"/>
          <w:sz w:val="24"/>
          <w:szCs w:val="24"/>
        </w:rPr>
      </w:pPr>
    </w:p>
    <w:p w:rsidR="004A3B7C" w:rsidRPr="004A3B7C" w:rsidRDefault="004A3B7C" w:rsidP="004A3B7C">
      <w:pPr>
        <w:pStyle w:val="ListParagraph"/>
        <w:rPr>
          <w:rFonts w:cstheme="minorHAnsi"/>
          <w:color w:val="4A442A" w:themeColor="background2" w:themeShade="40"/>
          <w:sz w:val="26"/>
          <w:szCs w:val="26"/>
        </w:rPr>
      </w:pPr>
    </w:p>
    <w:p w:rsidR="004A3B7C" w:rsidRPr="004A3B7C" w:rsidRDefault="004A3B7C" w:rsidP="004A3B7C">
      <w:pPr>
        <w:rPr>
          <w:rFonts w:cstheme="minorHAnsi"/>
          <w:b/>
          <w:color w:val="4A442A" w:themeColor="background2" w:themeShade="40"/>
          <w:sz w:val="24"/>
          <w:szCs w:val="24"/>
        </w:rPr>
      </w:pPr>
    </w:p>
    <w:p w:rsidR="004A3B7C" w:rsidRPr="004A3B7C" w:rsidRDefault="004A3B7C" w:rsidP="004A3B7C">
      <w:pPr>
        <w:rPr>
          <w:rFonts w:cstheme="minorHAnsi"/>
          <w:color w:val="4A442A" w:themeColor="background2" w:themeShade="40"/>
          <w:sz w:val="24"/>
          <w:szCs w:val="24"/>
        </w:rPr>
      </w:pPr>
    </w:p>
    <w:p w:rsidR="004A3B7C" w:rsidRPr="004A3B7C" w:rsidRDefault="004A3B7C" w:rsidP="004A3B7C">
      <w:pPr>
        <w:rPr>
          <w:rFonts w:cstheme="minorHAnsi"/>
          <w:color w:val="4A442A" w:themeColor="background2" w:themeShade="40"/>
          <w:sz w:val="24"/>
          <w:szCs w:val="24"/>
        </w:rPr>
      </w:pPr>
    </w:p>
    <w:p w:rsidR="004A3B7C" w:rsidRPr="004A3B7C" w:rsidRDefault="004A3B7C" w:rsidP="004A3B7C">
      <w:pPr>
        <w:pStyle w:val="ListParagraph"/>
        <w:rPr>
          <w:rFonts w:cstheme="minorHAnsi"/>
          <w:color w:val="4A442A" w:themeColor="background2" w:themeShade="40"/>
          <w:sz w:val="26"/>
          <w:szCs w:val="26"/>
        </w:rPr>
      </w:pPr>
    </w:p>
    <w:p w:rsidR="004A3B7C" w:rsidRPr="004A3B7C" w:rsidRDefault="004A3B7C">
      <w:pPr>
        <w:rPr>
          <w:rFonts w:cstheme="minorHAnsi"/>
        </w:rPr>
      </w:pPr>
    </w:p>
    <w:sectPr w:rsidR="004A3B7C" w:rsidRPr="004A3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791"/>
    <w:multiLevelType w:val="hybridMultilevel"/>
    <w:tmpl w:val="662648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94959"/>
    <w:multiLevelType w:val="hybridMultilevel"/>
    <w:tmpl w:val="5FE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01224"/>
    <w:multiLevelType w:val="hybridMultilevel"/>
    <w:tmpl w:val="45E8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7C"/>
    <w:rsid w:val="002029C1"/>
    <w:rsid w:val="004A3B7C"/>
    <w:rsid w:val="00541ED6"/>
    <w:rsid w:val="0055207D"/>
    <w:rsid w:val="005B606B"/>
    <w:rsid w:val="00742C05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7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2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7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rnwallft.nhs.uk/healthy-outloo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rnwallft.nhs.uk/register-online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752D8-3EBC-4390-989A-FFDB2FCBD0FF}"/>
</file>

<file path=customXml/itemProps2.xml><?xml version="1.0" encoding="utf-8"?>
<ds:datastoreItem xmlns:ds="http://schemas.openxmlformats.org/officeDocument/2006/customXml" ds:itemID="{DB82629C-0BBB-45B1-84E8-D6A591528BA1}"/>
</file>

<file path=customXml/itemProps3.xml><?xml version="1.0" encoding="utf-8"?>
<ds:datastoreItem xmlns:ds="http://schemas.openxmlformats.org/officeDocument/2006/customXml" ds:itemID="{C6A6E1AA-B006-4BBA-ADEE-516C80876E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2020-06-24T07:36:00Z</dcterms:created>
  <dcterms:modified xsi:type="dcterms:W3CDTF">2020-07-20T08:44:00Z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